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3A" w:rsidRPr="00DB1E3A" w:rsidRDefault="00DB1E3A" w:rsidP="001E074C">
      <w:pPr>
        <w:pStyle w:val="Default"/>
        <w:ind w:left="-567" w:firstLine="567"/>
        <w:rPr>
          <w:sz w:val="20"/>
          <w:szCs w:val="16"/>
        </w:rPr>
      </w:pPr>
      <w:r>
        <w:rPr>
          <w:sz w:val="20"/>
        </w:rPr>
        <w:t xml:space="preserve">WARUNKI PRZEDŁUŻONEJ GWARANCJI  </w:t>
      </w:r>
    </w:p>
    <w:p w:rsidR="00DB1E3A" w:rsidRPr="00E17C30" w:rsidRDefault="00DB1E3A" w:rsidP="00DB1E3A">
      <w:pPr>
        <w:pStyle w:val="Default"/>
        <w:rPr>
          <w:rFonts w:ascii="Calibri" w:hAnsi="Calibri" w:cs="Calibri"/>
          <w:sz w:val="20"/>
          <w:szCs w:val="16"/>
        </w:rPr>
      </w:pPr>
      <w:r>
        <w:rPr>
          <w:rFonts w:ascii="Calibri" w:hAnsi="Calibri"/>
          <w:b/>
          <w:sz w:val="20"/>
        </w:rPr>
        <w:t xml:space="preserve">WARUNKI GWARANCJI OBOWIĄZUJĄCE W: </w:t>
      </w:r>
    </w:p>
    <w:p w:rsidR="00DB1E3A" w:rsidRPr="00E17C30" w:rsidRDefault="00DB1E3A" w:rsidP="00DB1E3A">
      <w:pPr>
        <w:pStyle w:val="Default"/>
        <w:rPr>
          <w:rFonts w:ascii="Calibri" w:hAnsi="Calibri" w:cs="Calibri"/>
          <w:sz w:val="20"/>
          <w:szCs w:val="16"/>
        </w:rPr>
      </w:pPr>
      <w:r>
        <w:rPr>
          <w:rFonts w:ascii="Calibri" w:hAnsi="Calibri"/>
          <w:sz w:val="20"/>
        </w:rPr>
        <w:t xml:space="preserve">Europejskim Obszarze Gospodarczym, Szwajcarii i Turcji </w:t>
      </w:r>
    </w:p>
    <w:p w:rsidR="00DB1E3A" w:rsidRPr="00E17C30" w:rsidRDefault="00DB1E3A" w:rsidP="00DB1E3A">
      <w:pPr>
        <w:pStyle w:val="Default"/>
        <w:rPr>
          <w:rFonts w:ascii="Calibri" w:hAnsi="Calibri" w:cs="Calibri"/>
          <w:sz w:val="20"/>
          <w:szCs w:val="16"/>
        </w:rPr>
      </w:pPr>
      <w:r>
        <w:rPr>
          <w:rFonts w:ascii="Calibri" w:hAnsi="Calibri"/>
          <w:sz w:val="20"/>
        </w:rPr>
        <w:t xml:space="preserve">1. Niniejsza Przedłużona gwarancja dotyczy wszystkich elektronarzędzi zasilanych akumulatorami litowo-jonowymi, zakupionych w okresie od 1 stycznia 2014 r. na terytorium Europejskiego Obszaru Gospodarczego, Turcji lub Szwajcarii i używanych w tych krajach. Niniejsza Przedłużona gwarancja stanowi uzupełnienie wszelkich ustawowych bądź innych </w:t>
      </w:r>
      <w:r w:rsidR="00137291">
        <w:rPr>
          <w:rFonts w:ascii="Calibri" w:hAnsi="Calibri"/>
          <w:sz w:val="20"/>
        </w:rPr>
        <w:t>praw kupujących-konsumentów</w:t>
      </w:r>
      <w:r>
        <w:rPr>
          <w:rFonts w:ascii="Calibri" w:hAnsi="Calibri"/>
          <w:sz w:val="20"/>
        </w:rPr>
        <w:t xml:space="preserve"> i w żaden sposób nie wpływa na żadne z tych praw. </w:t>
      </w:r>
    </w:p>
    <w:p w:rsidR="00DB1E3A" w:rsidRPr="00E17C30" w:rsidRDefault="00DB1E3A" w:rsidP="00DB1E3A">
      <w:pPr>
        <w:pStyle w:val="Default"/>
        <w:rPr>
          <w:rFonts w:ascii="Calibri" w:hAnsi="Calibri" w:cs="Calibri"/>
          <w:sz w:val="20"/>
          <w:szCs w:val="16"/>
        </w:rPr>
      </w:pPr>
      <w:r>
        <w:rPr>
          <w:rFonts w:ascii="Calibri" w:hAnsi="Calibri"/>
          <w:sz w:val="20"/>
        </w:rPr>
        <w:t xml:space="preserve">2. W przypadku elektronarzędzi standardowy okres gwarancji firmy Panasonic to 12 miesięcy od daty zakupu produktu </w:t>
      </w:r>
      <w:r w:rsidR="00137291">
        <w:rPr>
          <w:rFonts w:ascii="Calibri" w:hAnsi="Calibri"/>
          <w:sz w:val="20"/>
        </w:rPr>
        <w:t>przez pierwotnego kupującego.</w:t>
      </w:r>
      <w:r>
        <w:rPr>
          <w:rFonts w:ascii="Calibri" w:hAnsi="Calibri"/>
          <w:sz w:val="20"/>
        </w:rPr>
        <w:t xml:space="preserve"> W przypadku korpusu narzędzia </w:t>
      </w:r>
      <w:r w:rsidR="004859EE">
        <w:rPr>
          <w:rFonts w:ascii="Calibri" w:hAnsi="Calibri"/>
          <w:sz w:val="20"/>
        </w:rPr>
        <w:t>Przedłużona G</w:t>
      </w:r>
      <w:r>
        <w:rPr>
          <w:rFonts w:ascii="Calibri" w:hAnsi="Calibri"/>
          <w:sz w:val="20"/>
        </w:rPr>
        <w:t xml:space="preserve">warancja obowiązuje przez 36 miesięcy, natomiast w przypadku akumulatorów litowo-jonowych i ładowarki — przez 24 miesiące od daty zakupu produktu („Okres Przedłużonej gwarancji”). Do gwarancji jest uprawniony wyłącznie </w:t>
      </w:r>
      <w:r w:rsidR="00137291">
        <w:rPr>
          <w:rFonts w:ascii="Calibri" w:hAnsi="Calibri"/>
          <w:sz w:val="20"/>
        </w:rPr>
        <w:t>pierwotny kupujący.</w:t>
      </w:r>
      <w:r>
        <w:rPr>
          <w:rFonts w:ascii="Calibri" w:hAnsi="Calibri"/>
          <w:sz w:val="20"/>
        </w:rPr>
        <w:t xml:space="preserve"> Warunkiem uznania Przedłużonej gwarancji jest okazanie oryginału dowodu sprzedaży produktu oraz potwierdzenia przedłużenia gwarancji, na których widnieje data zakupu. Aby Przedłużona gwarancja była ważna, musi zostać aktywowana poprzez rejestrację produktu na stronie internetowej http://www.panasonic-powertools.eu/pt/registration.htm </w:t>
      </w:r>
      <w:r>
        <w:rPr>
          <w:rFonts w:ascii="Calibri" w:hAnsi="Calibri"/>
          <w:b/>
          <w:sz w:val="20"/>
        </w:rPr>
        <w:t>w ciągu 30 dni</w:t>
      </w:r>
      <w:r>
        <w:rPr>
          <w:rFonts w:ascii="Calibri" w:hAnsi="Calibri"/>
          <w:sz w:val="20"/>
        </w:rPr>
        <w:t xml:space="preserve"> od zakupu. W przypadku problemu dotyczącego produktu, który wymaga naprawy gwarancyjnej, należy niezwłocznie skontaktować się z przedstawicielem handlowym lub z serwisem (patrz: punkt 7 poniżej). </w:t>
      </w:r>
    </w:p>
    <w:p w:rsidR="00DB1E3A" w:rsidRPr="00E17C30" w:rsidRDefault="00DB1E3A" w:rsidP="00DB1E3A">
      <w:pPr>
        <w:pStyle w:val="Default"/>
        <w:rPr>
          <w:rFonts w:ascii="Calibri" w:hAnsi="Calibri" w:cs="Calibri"/>
          <w:sz w:val="20"/>
          <w:szCs w:val="16"/>
        </w:rPr>
      </w:pPr>
      <w:r>
        <w:rPr>
          <w:rFonts w:ascii="Calibri" w:hAnsi="Calibri"/>
          <w:sz w:val="20"/>
        </w:rPr>
        <w:t xml:space="preserve">3. Niniejsza Przedłużona gwarancja obejmuje awarie spowodowane wadami powstałymi na początkowym etapie produkcji lub wadami projektowymi produktów. W okresie Przedłużonej gwarancji firma Panasonic naprawi produkt bezpłatnie lub wymieni uszkodzone części. Firma Panasonic może, wedle własnego uznania, wymienić produkt. Wszelkie produkty lub części wymienione zgodnie z niniejszą Przedłużoną gwarancją stają się własnością firmy Panasonic. </w:t>
      </w:r>
    </w:p>
    <w:p w:rsidR="00DB1E3A" w:rsidRPr="00E17C30" w:rsidRDefault="00DB1E3A" w:rsidP="00DB1E3A">
      <w:pPr>
        <w:pStyle w:val="Default"/>
        <w:rPr>
          <w:rFonts w:ascii="Calibri" w:hAnsi="Calibri" w:cs="Calibri"/>
          <w:sz w:val="20"/>
          <w:szCs w:val="16"/>
        </w:rPr>
      </w:pPr>
      <w:r>
        <w:rPr>
          <w:rFonts w:ascii="Calibri" w:hAnsi="Calibri"/>
          <w:sz w:val="20"/>
        </w:rPr>
        <w:t xml:space="preserve">4. Jeśli, pomimo wielokrotnych prób, firma Panasonic nie jest w stanie przywrócić produktu do dobrego stanu technicznego, firma Panasonic, wedle własnego uznania, wymieni produkt na identyczny lub posiadający takie same funkcje. </w:t>
      </w:r>
    </w:p>
    <w:p w:rsidR="00DB1E3A" w:rsidRPr="00E17C30" w:rsidRDefault="00DB1E3A" w:rsidP="00DB1E3A">
      <w:pPr>
        <w:pStyle w:val="Default"/>
        <w:rPr>
          <w:rFonts w:ascii="Calibri" w:hAnsi="Calibri" w:cs="Calibri"/>
          <w:sz w:val="20"/>
          <w:szCs w:val="16"/>
        </w:rPr>
      </w:pPr>
      <w:r>
        <w:rPr>
          <w:rFonts w:ascii="Calibri" w:hAnsi="Calibri"/>
          <w:sz w:val="20"/>
        </w:rPr>
        <w:t xml:space="preserve">5. Zgodnie z niniejszą Przedłużoną gwarancją jedynym i wyłącznym zadośćuczynieniem przysługującym </w:t>
      </w:r>
      <w:r w:rsidR="009B5D4E">
        <w:rPr>
          <w:rFonts w:ascii="Calibri" w:hAnsi="Calibri"/>
          <w:sz w:val="20"/>
        </w:rPr>
        <w:t>kupującemu</w:t>
      </w:r>
      <w:r>
        <w:rPr>
          <w:rFonts w:ascii="Calibri" w:hAnsi="Calibri"/>
          <w:sz w:val="20"/>
        </w:rPr>
        <w:t xml:space="preserve"> ze strony firmy Panasonic jest naprawa produktu lub wszelkich jego części (bądź, wedle uznania firmy Panasonic, wymiana produktu lub wszelkich jego uszkodzonych części). </w:t>
      </w:r>
      <w:r w:rsidR="009B5D4E">
        <w:rPr>
          <w:rFonts w:ascii="Calibri" w:hAnsi="Calibri"/>
          <w:sz w:val="20"/>
        </w:rPr>
        <w:t>Kupującemu</w:t>
      </w:r>
      <w:r>
        <w:rPr>
          <w:rFonts w:ascii="Calibri" w:hAnsi="Calibri"/>
          <w:sz w:val="20"/>
        </w:rPr>
        <w:t xml:space="preserve"> nie przysługuje żadne inne zadośćuczynienie, w tym, bez wyjątku, żadne roszczenia z tytułu jakichkolwiek przypadkowych bądź pośrednich uszkodzeń lub strat. </w:t>
      </w:r>
    </w:p>
    <w:p w:rsidR="00DB1E3A" w:rsidRPr="00E17C30" w:rsidRDefault="00DB1E3A" w:rsidP="00DB1E3A">
      <w:pPr>
        <w:pStyle w:val="Default"/>
        <w:rPr>
          <w:rFonts w:ascii="Calibri" w:hAnsi="Calibri" w:cs="Calibri"/>
          <w:sz w:val="20"/>
          <w:szCs w:val="16"/>
        </w:rPr>
      </w:pPr>
      <w:r>
        <w:rPr>
          <w:rFonts w:ascii="Calibri" w:hAnsi="Calibri"/>
          <w:sz w:val="20"/>
        </w:rPr>
        <w:t xml:space="preserve">6. Niniejsza Przedłużona gwarancja nie obejmuje: </w:t>
      </w:r>
    </w:p>
    <w:p w:rsidR="00DB1E3A" w:rsidRPr="00E17C30" w:rsidRDefault="00DB1E3A" w:rsidP="00DB1E3A">
      <w:pPr>
        <w:pStyle w:val="Default"/>
        <w:rPr>
          <w:rFonts w:ascii="Calibri" w:hAnsi="Calibri" w:cs="Calibri"/>
          <w:sz w:val="20"/>
          <w:szCs w:val="16"/>
        </w:rPr>
      </w:pPr>
      <w:r>
        <w:rPr>
          <w:rFonts w:ascii="Calibri" w:hAnsi="Calibri"/>
          <w:sz w:val="20"/>
        </w:rPr>
        <w:t xml:space="preserve">(i) wszelkich produktów lub części, które mają ograniczony okres przydatności do użytku lub stanowią materiały eksploatacyjne, np. szczotek, zużytych części, przekładni, przewodu, włącznika i uszczelki; </w:t>
      </w:r>
    </w:p>
    <w:p w:rsidR="00DB1E3A" w:rsidRPr="00E17C30" w:rsidRDefault="00DB1E3A" w:rsidP="00DB1E3A">
      <w:pPr>
        <w:pStyle w:val="Default"/>
        <w:rPr>
          <w:rFonts w:ascii="Calibri" w:hAnsi="Calibri" w:cs="Calibri"/>
          <w:sz w:val="20"/>
          <w:szCs w:val="16"/>
        </w:rPr>
      </w:pPr>
      <w:r>
        <w:rPr>
          <w:rFonts w:ascii="Calibri" w:hAnsi="Calibri"/>
          <w:sz w:val="20"/>
        </w:rPr>
        <w:t xml:space="preserve">(ii) uszkodzeń spowodowanych użyciem produktu niezgodnie z instrukcją obsługi lub normami technicznymi i/lub bezpieczeństwa obowiązującymi w kraju, w którym produkt jest używany; </w:t>
      </w:r>
    </w:p>
    <w:p w:rsidR="00DB1E3A" w:rsidRPr="00E17C30" w:rsidRDefault="00DB1E3A" w:rsidP="00DB1E3A">
      <w:pPr>
        <w:pStyle w:val="Default"/>
        <w:rPr>
          <w:rFonts w:ascii="Calibri" w:hAnsi="Calibri" w:cs="Calibri"/>
          <w:sz w:val="20"/>
          <w:szCs w:val="16"/>
        </w:rPr>
      </w:pPr>
      <w:r>
        <w:rPr>
          <w:rFonts w:ascii="Calibri" w:hAnsi="Calibri"/>
          <w:sz w:val="20"/>
        </w:rPr>
        <w:t xml:space="preserve">(iii) uszkodzeń powstałych w wyniku wypadku, pożaru, zaniedbania, użycia niezgodnie z przeznaczeniem, zużycia, niewłaściwego użycia, niewłaściwej instalacji, zanieczyszczenia dymem lub przedostania się cieczy bądź innej substancji obcej do produktu, jak również uszkodzeń powstałych podczas transportu do lub od </w:t>
      </w:r>
      <w:r w:rsidR="004569E6">
        <w:rPr>
          <w:rFonts w:ascii="Calibri" w:hAnsi="Calibri"/>
          <w:sz w:val="20"/>
        </w:rPr>
        <w:t>kupującego</w:t>
      </w:r>
      <w:r>
        <w:rPr>
          <w:rFonts w:ascii="Calibri" w:hAnsi="Calibri"/>
          <w:sz w:val="20"/>
        </w:rPr>
        <w:t xml:space="preserve">; </w:t>
      </w:r>
    </w:p>
    <w:p w:rsidR="00DB1E3A" w:rsidRPr="00E17C30" w:rsidRDefault="00DB1E3A" w:rsidP="00DB1E3A">
      <w:pPr>
        <w:pStyle w:val="Default"/>
        <w:rPr>
          <w:rFonts w:ascii="Calibri" w:hAnsi="Calibri" w:cs="Calibri"/>
          <w:sz w:val="20"/>
          <w:szCs w:val="16"/>
        </w:rPr>
      </w:pPr>
      <w:r>
        <w:rPr>
          <w:rFonts w:ascii="Calibri" w:hAnsi="Calibri"/>
          <w:sz w:val="20"/>
        </w:rPr>
        <w:t xml:space="preserve">(iv) uszkodzeń spowodowanych użyciem części lub akcesoriów producenta innego niż firma Panasonic bądź regulacją, naprawą, modyfikacją lub demontażem przez osobę nieupoważnioną przez firmę Panasonic; </w:t>
      </w:r>
    </w:p>
    <w:p w:rsidR="00DB1E3A" w:rsidRPr="00E17C30" w:rsidRDefault="00DB1E3A" w:rsidP="00DB1E3A">
      <w:pPr>
        <w:pStyle w:val="Default"/>
        <w:rPr>
          <w:rFonts w:ascii="Calibri" w:hAnsi="Calibri" w:cs="Calibri"/>
          <w:sz w:val="20"/>
          <w:szCs w:val="16"/>
        </w:rPr>
      </w:pPr>
      <w:r>
        <w:rPr>
          <w:rFonts w:ascii="Calibri" w:hAnsi="Calibri"/>
          <w:sz w:val="20"/>
        </w:rPr>
        <w:t xml:space="preserve">(v) akcesoriów takich jak końcówki, brzeszczoty, klucz nasadowy i wkładka; </w:t>
      </w:r>
    </w:p>
    <w:p w:rsidR="00DB1E3A" w:rsidRPr="00E17C30" w:rsidRDefault="00DB1E3A" w:rsidP="00DB1E3A">
      <w:pPr>
        <w:pStyle w:val="Default"/>
        <w:rPr>
          <w:rFonts w:ascii="Calibri" w:hAnsi="Calibri" w:cs="Calibri"/>
          <w:sz w:val="20"/>
          <w:szCs w:val="16"/>
        </w:rPr>
      </w:pPr>
      <w:r>
        <w:rPr>
          <w:rFonts w:ascii="Calibri" w:hAnsi="Calibri"/>
          <w:sz w:val="20"/>
        </w:rPr>
        <w:t xml:space="preserve">(v) narzędzi produkcyjnych (narzędzi i akumulatorów EY FLA — do zastosowania przemysłowego wg indywidualnej oferty pod zapytanie) i narzędzi używanych w produkcji przemysłowej. </w:t>
      </w:r>
    </w:p>
    <w:p w:rsidR="00DB1E3A" w:rsidRPr="00E17C30" w:rsidRDefault="00DB1E3A" w:rsidP="00DB1E3A">
      <w:pPr>
        <w:pStyle w:val="Default"/>
        <w:rPr>
          <w:rFonts w:ascii="Calibri" w:hAnsi="Calibri" w:cs="Calibri"/>
          <w:sz w:val="20"/>
          <w:szCs w:val="16"/>
        </w:rPr>
      </w:pPr>
      <w:r>
        <w:rPr>
          <w:rFonts w:ascii="Calibri" w:hAnsi="Calibri"/>
          <w:sz w:val="20"/>
        </w:rPr>
        <w:t xml:space="preserve">7. W mało prawdopodobnym przypadku awarii produktu należy najpierw zapoznać się z rozdziałem „Rozwiązywanie problemów” w Instrukcji obsługi. Jeśli po zapoznaniu się z Instrukcją obsługi użytkownik uważa, że produkt jest uszkodzony, </w:t>
      </w:r>
      <w:bookmarkStart w:id="0" w:name="_GoBack"/>
      <w:r>
        <w:rPr>
          <w:rFonts w:ascii="Calibri" w:hAnsi="Calibri"/>
          <w:sz w:val="20"/>
        </w:rPr>
        <w:t xml:space="preserve">należy niezwłocznie skontaktować się z autoryzowanym przedstawicielem handlowym, od którego zakupiono produkt, lub </w:t>
      </w:r>
      <w:bookmarkEnd w:id="0"/>
      <w:r>
        <w:rPr>
          <w:rFonts w:ascii="Calibri" w:hAnsi="Calibri"/>
          <w:sz w:val="20"/>
        </w:rPr>
        <w:t xml:space="preserve">najbliższym serwisem firmy Panasonic i przygotować potwierdzenie przedłużenia gwarancji oraz dowód daty </w:t>
      </w:r>
      <w:r w:rsidR="007840F5" w:rsidRPr="009B5D4E">
        <w:rPr>
          <w:rFonts w:ascii="Calibri" w:hAnsi="Calibri"/>
          <w:sz w:val="20"/>
        </w:rPr>
        <w:t>zakupu</w:t>
      </w:r>
      <w:r w:rsidRPr="00226B1F">
        <w:rPr>
          <w:rFonts w:ascii="Calibri" w:hAnsi="Calibri"/>
          <w:sz w:val="20"/>
        </w:rPr>
        <w:t>.</w:t>
      </w:r>
      <w:r w:rsidR="007840F5" w:rsidRPr="009B5D4E">
        <w:rPr>
          <w:rFonts w:ascii="Calibri" w:hAnsi="Calibri"/>
          <w:sz w:val="20"/>
        </w:rPr>
        <w:t xml:space="preserve"> Dane autoryzowanych przedstawicieli handlowych oraz autoryzowanych serwisów można znaleźć na stronie internetowej pod adresem:</w:t>
      </w:r>
      <w:r>
        <w:rPr>
          <w:rFonts w:ascii="Calibri" w:hAnsi="Calibri"/>
          <w:b/>
          <w:sz w:val="20"/>
        </w:rPr>
        <w:t xml:space="preserve"> www.panasonic-powertools.eu</w:t>
      </w:r>
      <w:r>
        <w:rPr>
          <w:rFonts w:ascii="Calibri" w:hAnsi="Calibri"/>
          <w:sz w:val="20"/>
        </w:rPr>
        <w:t xml:space="preserve">. </w:t>
      </w:r>
    </w:p>
    <w:p w:rsidR="00A4611C" w:rsidRPr="00A4611C" w:rsidRDefault="00DB1E3A" w:rsidP="00DB1E3A">
      <w:pPr>
        <w:pStyle w:val="Default"/>
        <w:rPr>
          <w:rFonts w:ascii="Calibri" w:hAnsi="Calibri" w:cs="Tahoma"/>
        </w:rPr>
      </w:pPr>
      <w:r w:rsidRPr="00A4611C">
        <w:rPr>
          <w:rFonts w:ascii="Calibri" w:hAnsi="Calibri"/>
          <w:sz w:val="20"/>
        </w:rPr>
        <w:t>8. Niniejsza Przedłużona gwarancja nie pokrywa kosztów transportu oraz ryzyka transportowego</w:t>
      </w:r>
      <w:r w:rsidR="00A4611C" w:rsidRPr="00A4611C">
        <w:rPr>
          <w:rFonts w:ascii="Calibri" w:hAnsi="Calibri"/>
          <w:sz w:val="20"/>
        </w:rPr>
        <w:t>,</w:t>
      </w:r>
      <w:r w:rsidR="00A4611C">
        <w:rPr>
          <w:rFonts w:ascii="Calibri" w:hAnsi="Calibri"/>
          <w:sz w:val="20"/>
        </w:rPr>
        <w:t xml:space="preserve"> chyba, że co innego wynika z przepisów bezwzględnie obowiązujących w państwie, na którego terytorium kupujący – uprawniony korzysta z uprawnień.</w:t>
      </w:r>
      <w:r w:rsidR="00A4611C" w:rsidRPr="00A4611C">
        <w:rPr>
          <w:rFonts w:ascii="Calibri" w:hAnsi="Calibri"/>
          <w:sz w:val="20"/>
        </w:rPr>
        <w:t xml:space="preserve"> </w:t>
      </w:r>
    </w:p>
    <w:p w:rsidR="00DB1E3A" w:rsidRPr="00E17C30" w:rsidRDefault="00DB1E3A" w:rsidP="00DB1E3A">
      <w:pPr>
        <w:pStyle w:val="Default"/>
        <w:rPr>
          <w:rFonts w:ascii="Calibri" w:hAnsi="Calibri" w:cs="Calibri"/>
          <w:sz w:val="20"/>
          <w:szCs w:val="16"/>
        </w:rPr>
      </w:pPr>
      <w:r>
        <w:rPr>
          <w:rFonts w:ascii="Calibri" w:hAnsi="Calibri"/>
          <w:sz w:val="20"/>
        </w:rPr>
        <w:t xml:space="preserve">9. Jeśli kraj użytkowania jest inny niż kraj zakupu, usługa serwisowa będzie zapewniona zgodnie z warunkami obowiązującymi w kraju użytkowania, z wyjątkiem sytuacji, gdy okres gwarancji w kraju zakupu jest dłuższy niż w kraju użytkowania — wówczas okresem gwarancji będzie okres obowiązujący w kraju zakupu. </w:t>
      </w:r>
    </w:p>
    <w:p w:rsidR="00DB1E3A" w:rsidRPr="00E17C30" w:rsidRDefault="00DB1E3A" w:rsidP="00DB1E3A">
      <w:pPr>
        <w:pStyle w:val="Default"/>
        <w:rPr>
          <w:rFonts w:ascii="Calibri" w:hAnsi="Calibri" w:cs="Calibri"/>
          <w:sz w:val="20"/>
          <w:szCs w:val="16"/>
        </w:rPr>
      </w:pPr>
      <w:r>
        <w:rPr>
          <w:rFonts w:ascii="Calibri" w:hAnsi="Calibri"/>
          <w:sz w:val="20"/>
        </w:rPr>
        <w:t xml:space="preserve">10. Niniejsza Przedłużona gwarancja oraz wszelkie spory lub roszczenia wynikające z niej lub związane z nią bądź sposobem jej sformułowania podlegają prawu niemieckiemu i są interpretowane zgodnie z tym prawem. Sądami wyłącznie właściwymi do rozstrzygania wszelkich sporów lub roszczeń wynikających z niniejszej Gwarancji lub związanych z nią bądź sposobem jej sformułowania są sądy w Hamburgu w Niemczech. </w:t>
      </w:r>
    </w:p>
    <w:p w:rsidR="00DB1E3A" w:rsidRPr="00E17C30" w:rsidRDefault="00DB1E3A" w:rsidP="00DB1E3A">
      <w:pPr>
        <w:pStyle w:val="Default"/>
        <w:rPr>
          <w:rFonts w:ascii="Calibri" w:hAnsi="Calibri" w:cs="Calibri"/>
          <w:sz w:val="20"/>
          <w:szCs w:val="16"/>
        </w:rPr>
      </w:pPr>
      <w:r>
        <w:rPr>
          <w:rFonts w:ascii="Calibri" w:hAnsi="Calibri"/>
          <w:sz w:val="20"/>
        </w:rPr>
        <w:t xml:space="preserve">11. W niniejszej Przedłużonej gwarancji „firma Panasonic” oznacza firmę określoną poniżej. </w:t>
      </w:r>
    </w:p>
    <w:p w:rsidR="00DB1E3A" w:rsidRPr="009B5D4E" w:rsidRDefault="00DB1E3A" w:rsidP="00DB1E3A">
      <w:pPr>
        <w:pStyle w:val="Default"/>
        <w:rPr>
          <w:rFonts w:ascii="Calibri" w:hAnsi="Calibri" w:cs="Calibri"/>
          <w:sz w:val="20"/>
          <w:szCs w:val="16"/>
          <w:lang w:val="en-US"/>
        </w:rPr>
      </w:pPr>
      <w:r w:rsidRPr="009B5D4E">
        <w:rPr>
          <w:rFonts w:ascii="Calibri" w:hAnsi="Calibri"/>
          <w:sz w:val="20"/>
          <w:lang w:val="en-US"/>
        </w:rPr>
        <w:t xml:space="preserve">Panasonic Electric Works Europe AG </w:t>
      </w:r>
    </w:p>
    <w:p w:rsidR="00DB1E3A" w:rsidRPr="009B5D4E" w:rsidRDefault="00DB1E3A" w:rsidP="00DB1E3A">
      <w:pPr>
        <w:pStyle w:val="Default"/>
        <w:rPr>
          <w:rFonts w:ascii="Calibri" w:hAnsi="Calibri" w:cs="Calibri"/>
          <w:sz w:val="20"/>
          <w:szCs w:val="16"/>
          <w:lang w:val="en-US"/>
        </w:rPr>
      </w:pPr>
      <w:r w:rsidRPr="009B5D4E">
        <w:rPr>
          <w:rFonts w:ascii="Calibri" w:hAnsi="Calibri"/>
          <w:sz w:val="20"/>
          <w:lang w:val="en-US"/>
        </w:rPr>
        <w:t xml:space="preserve">Rudolf – Diesel – Ring 2 </w:t>
      </w:r>
    </w:p>
    <w:p w:rsidR="007C3386" w:rsidRPr="00DB1E3A" w:rsidRDefault="00DB1E3A" w:rsidP="00DB1E3A">
      <w:pPr>
        <w:rPr>
          <w:sz w:val="28"/>
        </w:rPr>
      </w:pPr>
      <w:r>
        <w:rPr>
          <w:sz w:val="20"/>
        </w:rPr>
        <w:t xml:space="preserve">83607 </w:t>
      </w:r>
      <w:proofErr w:type="spellStart"/>
      <w:r>
        <w:rPr>
          <w:sz w:val="20"/>
        </w:rPr>
        <w:t>Holzkirchen</w:t>
      </w:r>
      <w:proofErr w:type="spellEnd"/>
      <w:r>
        <w:rPr>
          <w:sz w:val="20"/>
        </w:rPr>
        <w:t xml:space="preserve"> Niemcy</w:t>
      </w:r>
    </w:p>
    <w:sectPr w:rsidR="007C3386" w:rsidRPr="00DB1E3A" w:rsidSect="001E07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3A"/>
    <w:rsid w:val="00137291"/>
    <w:rsid w:val="001E074C"/>
    <w:rsid w:val="00210F4A"/>
    <w:rsid w:val="00226B1F"/>
    <w:rsid w:val="00247A44"/>
    <w:rsid w:val="003E40C7"/>
    <w:rsid w:val="004569E6"/>
    <w:rsid w:val="004859EE"/>
    <w:rsid w:val="005A59D8"/>
    <w:rsid w:val="00626EDD"/>
    <w:rsid w:val="007840F5"/>
    <w:rsid w:val="007C3386"/>
    <w:rsid w:val="008F3372"/>
    <w:rsid w:val="009B5D4E"/>
    <w:rsid w:val="00A4611C"/>
    <w:rsid w:val="00AC2407"/>
    <w:rsid w:val="00CF6BA6"/>
    <w:rsid w:val="00D21A9B"/>
    <w:rsid w:val="00D8763B"/>
    <w:rsid w:val="00DB1E3A"/>
    <w:rsid w:val="00DD5124"/>
    <w:rsid w:val="00E17C30"/>
    <w:rsid w:val="00F57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6F754-B233-4E74-BF72-363F75FB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386"/>
    <w:pPr>
      <w:spacing w:after="200" w:line="276" w:lineRule="auto"/>
    </w:pPr>
    <w:rPr>
      <w:sz w:val="22"/>
      <w:szCs w:val="22"/>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B1E3A"/>
    <w:pPr>
      <w:autoSpaceDE w:val="0"/>
      <w:autoSpaceDN w:val="0"/>
      <w:adjustRightInd w:val="0"/>
    </w:pPr>
    <w:rPr>
      <w:rFonts w:ascii="Times New Roman" w:hAnsi="Times New Roman"/>
      <w:color w:val="000000"/>
      <w:sz w:val="24"/>
      <w:szCs w:val="24"/>
      <w:lang w:bidi="pl-PL"/>
    </w:rPr>
  </w:style>
  <w:style w:type="character" w:styleId="Odwoaniedokomentarza">
    <w:name w:val="annotation reference"/>
    <w:uiPriority w:val="99"/>
    <w:semiHidden/>
    <w:unhideWhenUsed/>
    <w:rsid w:val="005A59D8"/>
    <w:rPr>
      <w:sz w:val="16"/>
      <w:szCs w:val="16"/>
    </w:rPr>
  </w:style>
  <w:style w:type="paragraph" w:styleId="Tekstkomentarza">
    <w:name w:val="annotation text"/>
    <w:basedOn w:val="Normalny"/>
    <w:link w:val="TekstkomentarzaZnak"/>
    <w:uiPriority w:val="99"/>
    <w:semiHidden/>
    <w:unhideWhenUsed/>
    <w:rsid w:val="005A59D8"/>
    <w:rPr>
      <w:sz w:val="20"/>
      <w:szCs w:val="20"/>
    </w:rPr>
  </w:style>
  <w:style w:type="character" w:customStyle="1" w:styleId="TekstkomentarzaZnak">
    <w:name w:val="Tekst komentarza Znak"/>
    <w:link w:val="Tekstkomentarza"/>
    <w:uiPriority w:val="99"/>
    <w:semiHidden/>
    <w:rsid w:val="005A59D8"/>
    <w:rPr>
      <w:lang w:bidi="pl-PL"/>
    </w:rPr>
  </w:style>
  <w:style w:type="paragraph" w:styleId="Tematkomentarza">
    <w:name w:val="annotation subject"/>
    <w:basedOn w:val="Tekstkomentarza"/>
    <w:next w:val="Tekstkomentarza"/>
    <w:link w:val="TematkomentarzaZnak"/>
    <w:uiPriority w:val="99"/>
    <w:semiHidden/>
    <w:unhideWhenUsed/>
    <w:rsid w:val="005A59D8"/>
    <w:rPr>
      <w:b/>
      <w:bCs/>
    </w:rPr>
  </w:style>
  <w:style w:type="character" w:customStyle="1" w:styleId="TematkomentarzaZnak">
    <w:name w:val="Temat komentarza Znak"/>
    <w:link w:val="Tematkomentarza"/>
    <w:uiPriority w:val="99"/>
    <w:semiHidden/>
    <w:rsid w:val="005A59D8"/>
    <w:rPr>
      <w:b/>
      <w:bCs/>
      <w:lang w:bidi="pl-PL"/>
    </w:rPr>
  </w:style>
  <w:style w:type="paragraph" w:styleId="Tekstdymka">
    <w:name w:val="Balloon Text"/>
    <w:basedOn w:val="Normalny"/>
    <w:link w:val="TekstdymkaZnak"/>
    <w:uiPriority w:val="99"/>
    <w:semiHidden/>
    <w:unhideWhenUsed/>
    <w:rsid w:val="005A59D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A59D8"/>
    <w:rPr>
      <w:rFonts w:ascii="Segoe UI" w:hAnsi="Segoe UI" w:cs="Segoe UI"/>
      <w:sz w:val="18"/>
      <w:szCs w:val="18"/>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800</Words>
  <Characters>4802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"LŁ" sp. z o.o. sp. k.</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Mroczkowski</dc:creator>
  <cp:lastModifiedBy>Kancelaria Wrocław</cp:lastModifiedBy>
  <cp:revision>3</cp:revision>
  <dcterms:created xsi:type="dcterms:W3CDTF">2015-12-02T10:33:00Z</dcterms:created>
  <dcterms:modified xsi:type="dcterms:W3CDTF">2015-12-02T10:39:00Z</dcterms:modified>
</cp:coreProperties>
</file>